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00" w:lineRule="exact"/>
        <w:jc w:val="center"/>
        <w:rPr>
          <w:rFonts w:ascii="方正仿宋_GBK" w:eastAsia="方正仿宋_GBK"/>
          <w:b/>
          <w:color w:val="000000" w:themeColor="text1"/>
          <w:sz w:val="44"/>
          <w:szCs w:val="44"/>
          <w14:textFill>
            <w14:solidFill>
              <w14:schemeClr w14:val="tx1"/>
            </w14:solidFill>
          </w14:textFill>
        </w:rPr>
      </w:pPr>
      <w:bookmarkStart w:id="0" w:name="_Toc77868382"/>
      <w:r>
        <w:rPr>
          <w:rFonts w:hint="eastAsia" w:ascii="方正仿宋_GBK" w:eastAsia="方正仿宋_GBK"/>
          <w:color w:val="000000" w:themeColor="text1"/>
          <w:sz w:val="44"/>
          <w:szCs w:val="44"/>
          <w14:textFill>
            <w14:solidFill>
              <w14:schemeClr w14:val="tx1"/>
            </w14:solidFill>
          </w14:textFill>
        </w:rPr>
        <w:t>重庆医科大学附属康复医院</w:t>
      </w:r>
      <w:r>
        <w:rPr>
          <w:rFonts w:hint="eastAsia" w:ascii="方正仿宋_GBK" w:eastAsia="方正仿宋_GBK"/>
          <w:color w:val="000000" w:themeColor="text1"/>
          <w:sz w:val="44"/>
          <w:szCs w:val="44"/>
          <w:lang w:val="en-US" w:eastAsia="zh-CN"/>
          <w14:textFill>
            <w14:solidFill>
              <w14:schemeClr w14:val="tx1"/>
            </w14:solidFill>
          </w14:textFill>
        </w:rPr>
        <w:t>黄水</w:t>
      </w:r>
      <w:r>
        <w:rPr>
          <w:rFonts w:hint="eastAsia" w:ascii="方正仿宋_GBK" w:eastAsia="方正仿宋_GBK"/>
          <w:color w:val="000000" w:themeColor="text1"/>
          <w:sz w:val="44"/>
          <w:szCs w:val="44"/>
          <w:lang w:eastAsia="zh-CN"/>
          <w14:textFill>
            <w14:solidFill>
              <w14:schemeClr w14:val="tx1"/>
            </w14:solidFill>
          </w14:textFill>
        </w:rPr>
        <w:t>院区电梯维保</w:t>
      </w:r>
      <w:r>
        <w:rPr>
          <w:rFonts w:hint="eastAsia" w:ascii="方正仿宋_GBK" w:eastAsia="方正仿宋_GBK"/>
          <w:color w:val="000000" w:themeColor="text1"/>
          <w:sz w:val="44"/>
          <w:szCs w:val="44"/>
          <w14:textFill>
            <w14:solidFill>
              <w14:schemeClr w14:val="tx1"/>
            </w14:solidFill>
          </w14:textFill>
        </w:rPr>
        <w:t>项目基本情况</w:t>
      </w:r>
    </w:p>
    <w:p>
      <w:pPr>
        <w:pStyle w:val="2"/>
        <w:spacing w:line="500" w:lineRule="exact"/>
        <w:rPr>
          <w:rFonts w:hint="eastAsia" w:ascii="方正仿宋_GBK" w:eastAsia="方正仿宋_GBK"/>
          <w:b/>
          <w:szCs w:val="28"/>
        </w:rPr>
      </w:pPr>
    </w:p>
    <w:p>
      <w:pPr>
        <w:pStyle w:val="2"/>
        <w:spacing w:line="500" w:lineRule="exact"/>
        <w:rPr>
          <w:rFonts w:ascii="方正仿宋_GBK" w:eastAsia="方正仿宋_GBK"/>
          <w:b/>
          <w:szCs w:val="28"/>
        </w:rPr>
      </w:pPr>
      <w:r>
        <w:rPr>
          <w:rFonts w:hint="eastAsia" w:ascii="方正仿宋_GBK" w:eastAsia="方正仿宋_GBK"/>
          <w:b/>
          <w:szCs w:val="28"/>
        </w:rPr>
        <w:t>招标基本情况</w:t>
      </w:r>
      <w:bookmarkEnd w:id="0"/>
      <w:r>
        <w:rPr>
          <w:rFonts w:hint="eastAsia" w:ascii="方正仿宋_GBK" w:eastAsia="方正仿宋_GBK"/>
          <w:b/>
          <w:szCs w:val="28"/>
          <w:lang w:val="en-US" w:eastAsia="zh-CN"/>
        </w:rPr>
        <w:t>信息</w:t>
      </w:r>
      <w:r>
        <w:rPr>
          <w:rFonts w:hint="eastAsia" w:ascii="方正仿宋_GBK" w:eastAsia="方正仿宋_GBK"/>
          <w:b/>
          <w:szCs w:val="28"/>
        </w:rPr>
        <w:t>（</w:t>
      </w:r>
      <w:r>
        <w:rPr>
          <w:rFonts w:hint="eastAsia" w:ascii="方正仿宋_GBK" w:eastAsia="方正仿宋_GBK"/>
          <w:b/>
          <w:szCs w:val="28"/>
          <w:lang w:eastAsia="zh-CN"/>
        </w:rPr>
        <w:t>电梯维保</w:t>
      </w:r>
      <w:r>
        <w:rPr>
          <w:rFonts w:hint="eastAsia" w:ascii="方正仿宋_GBK" w:eastAsia="方正仿宋_GBK"/>
          <w:b/>
          <w:szCs w:val="28"/>
        </w:rPr>
        <w:t>）</w:t>
      </w:r>
    </w:p>
    <w:p>
      <w:pPr>
        <w:numPr>
          <w:ilvl w:val="0"/>
          <w:numId w:val="0"/>
        </w:numPr>
        <w:snapToGrid w:val="0"/>
        <w:spacing w:line="400" w:lineRule="exact"/>
        <w:rPr>
          <w:rFonts w:hint="eastAsia" w:ascii="方正仿宋_GBK" w:hAnsi="宋体" w:eastAsia="方正仿宋_GBK"/>
          <w:szCs w:val="28"/>
        </w:rPr>
      </w:pPr>
      <w:r>
        <w:rPr>
          <w:rFonts w:hint="eastAsia" w:ascii="方正仿宋_GBK" w:hAnsi="宋体" w:eastAsia="方正仿宋_GBK"/>
          <w:szCs w:val="28"/>
          <w:lang w:eastAsia="zh-CN"/>
        </w:rPr>
        <w:t>一、</w:t>
      </w:r>
      <w:r>
        <w:rPr>
          <w:rFonts w:hint="eastAsia" w:ascii="方正仿宋_GBK" w:hAnsi="宋体" w:eastAsia="方正仿宋_GBK"/>
          <w:szCs w:val="28"/>
        </w:rPr>
        <w:t>项目名称：</w:t>
      </w:r>
      <w:r>
        <w:rPr>
          <w:rFonts w:hint="eastAsia" w:ascii="方正仿宋_GBK" w:hAnsi="宋体" w:eastAsia="方正仿宋_GBK"/>
          <w:szCs w:val="28"/>
          <w:lang w:eastAsia="zh-CN"/>
        </w:rPr>
        <w:t>重庆医科大学附属康复医院</w:t>
      </w:r>
      <w:r>
        <w:rPr>
          <w:rFonts w:hint="eastAsia" w:ascii="方正仿宋_GBK" w:hAnsi="宋体" w:eastAsia="方正仿宋_GBK"/>
          <w:szCs w:val="28"/>
          <w:lang w:val="en-US" w:eastAsia="zh-CN"/>
        </w:rPr>
        <w:t>黄水</w:t>
      </w:r>
      <w:r>
        <w:rPr>
          <w:rFonts w:hint="eastAsia" w:ascii="方正仿宋_GBK" w:hAnsi="宋体" w:eastAsia="方正仿宋_GBK"/>
          <w:szCs w:val="28"/>
          <w:lang w:eastAsia="zh-CN"/>
        </w:rPr>
        <w:t>院区</w:t>
      </w:r>
      <w:r>
        <w:rPr>
          <w:rFonts w:hint="eastAsia" w:ascii="方正仿宋_GBK" w:hAnsi="宋体" w:eastAsia="方正仿宋_GBK"/>
          <w:szCs w:val="28"/>
        </w:rPr>
        <w:t>电梯维保服务项目</w:t>
      </w:r>
    </w:p>
    <w:p>
      <w:pPr>
        <w:snapToGrid w:val="0"/>
        <w:spacing w:line="400" w:lineRule="exact"/>
        <w:rPr>
          <w:rFonts w:hint="eastAsia" w:ascii="方正仿宋_GBK" w:hAnsi="宋体" w:eastAsia="方正仿宋_GBK"/>
          <w:szCs w:val="28"/>
          <w:lang w:val="en-US" w:eastAsia="zh-CN"/>
        </w:rPr>
      </w:pPr>
      <w:r>
        <w:rPr>
          <w:rFonts w:hint="eastAsia" w:ascii="方正仿宋_GBK" w:hAnsi="宋体" w:eastAsia="方正仿宋_GBK"/>
          <w:szCs w:val="28"/>
          <w:lang w:val="en-US" w:eastAsia="zh-CN"/>
        </w:rPr>
        <w:t>二、</w:t>
      </w:r>
      <w:r>
        <w:rPr>
          <w:rFonts w:hint="eastAsia" w:ascii="方正仿宋_GBK" w:hAnsi="宋体" w:eastAsia="方正仿宋_GBK"/>
          <w:szCs w:val="28"/>
        </w:rPr>
        <w:t>项目地址：重庆市</w:t>
      </w:r>
      <w:r>
        <w:rPr>
          <w:rFonts w:hint="eastAsia" w:ascii="方正仿宋_GBK" w:hAnsi="宋体" w:eastAsia="方正仿宋_GBK"/>
          <w:szCs w:val="28"/>
          <w:lang w:val="en-US" w:eastAsia="zh-CN"/>
        </w:rPr>
        <w:t>石柱土家族自治县黄水镇莼乡路287号</w:t>
      </w:r>
    </w:p>
    <w:p>
      <w:pPr>
        <w:snapToGrid w:val="0"/>
        <w:spacing w:line="400" w:lineRule="exact"/>
        <w:rPr>
          <w:rFonts w:hint="eastAsia" w:ascii="方正仿宋_GBK" w:hAnsi="宋体" w:eastAsia="方正仿宋_GBK"/>
          <w:szCs w:val="28"/>
          <w:lang w:eastAsia="zh-CN"/>
        </w:rPr>
      </w:pPr>
      <w:r>
        <w:rPr>
          <w:rFonts w:hint="eastAsia" w:ascii="方正仿宋_GBK" w:hAnsi="宋体" w:eastAsia="方正仿宋_GBK"/>
          <w:szCs w:val="28"/>
          <w:lang w:eastAsia="zh-CN"/>
        </w:rPr>
        <w:t>三</w:t>
      </w:r>
      <w:r>
        <w:rPr>
          <w:rFonts w:hint="eastAsia" w:ascii="方正仿宋_GBK" w:hAnsi="宋体" w:eastAsia="方正仿宋_GBK"/>
          <w:szCs w:val="28"/>
        </w:rPr>
        <w:t>、项目概述</w:t>
      </w:r>
      <w:r>
        <w:rPr>
          <w:rFonts w:hint="eastAsia" w:ascii="方正仿宋_GBK" w:hAnsi="宋体" w:eastAsia="方正仿宋_GBK"/>
          <w:szCs w:val="28"/>
          <w:lang w:eastAsia="zh-CN"/>
        </w:rPr>
        <w:t>：</w:t>
      </w:r>
    </w:p>
    <w:p>
      <w:pPr>
        <w:snapToGrid w:val="0"/>
        <w:spacing w:line="400" w:lineRule="exact"/>
        <w:ind w:firstLine="560" w:firstLineChars="200"/>
        <w:rPr>
          <w:rFonts w:hint="eastAsia" w:ascii="方正仿宋_GBK" w:hAnsi="宋体" w:eastAsia="方正仿宋_GBK"/>
          <w:szCs w:val="28"/>
        </w:rPr>
      </w:pPr>
      <w:r>
        <w:rPr>
          <w:rFonts w:hint="eastAsia" w:ascii="方正仿宋_GBK" w:hAnsi="宋体" w:eastAsia="方正仿宋_GBK"/>
          <w:szCs w:val="28"/>
        </w:rPr>
        <w:t>本项目旨在为位于重庆市</w:t>
      </w:r>
      <w:r>
        <w:rPr>
          <w:rFonts w:hint="eastAsia" w:ascii="方正仿宋_GBK" w:hAnsi="宋体" w:eastAsia="方正仿宋_GBK"/>
          <w:szCs w:val="28"/>
          <w:lang w:val="en-US" w:eastAsia="zh-CN"/>
        </w:rPr>
        <w:t>石柱县黄水镇重庆医科大学附属康复医院</w:t>
      </w:r>
      <w:r>
        <w:rPr>
          <w:rFonts w:hint="eastAsia" w:ascii="方正仿宋_GBK" w:hAnsi="宋体" w:eastAsia="方正仿宋_GBK"/>
          <w:szCs w:val="28"/>
        </w:rPr>
        <w:t>的一组电梯设备提供专业、规范的维修保养服务，确保电梯设施的安全、稳定、高效运行。招标范围涵盖</w:t>
      </w:r>
      <w:r>
        <w:rPr>
          <w:rFonts w:hint="eastAsia" w:ascii="方正仿宋_GBK" w:hAnsi="宋体" w:eastAsia="方正仿宋_GBK"/>
          <w:szCs w:val="28"/>
          <w:lang w:val="en-US" w:eastAsia="zh-CN"/>
        </w:rPr>
        <w:t>7</w:t>
      </w:r>
      <w:r>
        <w:rPr>
          <w:rFonts w:hint="eastAsia" w:ascii="方正仿宋_GBK" w:hAnsi="宋体" w:eastAsia="方正仿宋_GBK"/>
          <w:szCs w:val="28"/>
        </w:rPr>
        <w:t>台电梯，包括</w:t>
      </w:r>
      <w:r>
        <w:rPr>
          <w:rFonts w:hint="eastAsia" w:ascii="方正仿宋_GBK" w:hAnsi="宋体" w:eastAsia="方正仿宋_GBK"/>
          <w:szCs w:val="28"/>
          <w:lang w:val="en-US" w:eastAsia="zh-CN"/>
        </w:rPr>
        <w:t>6台无机房电梯和1台食堂杂物电梯。</w:t>
      </w:r>
      <w:r>
        <w:rPr>
          <w:rFonts w:hint="eastAsia" w:ascii="方正仿宋_GBK" w:hAnsi="宋体" w:eastAsia="方正仿宋_GBK"/>
          <w:szCs w:val="28"/>
        </w:rPr>
        <w:br w:type="textWrapping"/>
      </w:r>
      <w:r>
        <w:rPr>
          <w:rFonts w:hint="eastAsia" w:ascii="方正仿宋_GBK" w:hAnsi="宋体" w:eastAsia="方正仿宋_GBK"/>
          <w:szCs w:val="28"/>
          <w:lang w:eastAsia="zh-CN"/>
        </w:rPr>
        <w:t>四</w:t>
      </w:r>
      <w:r>
        <w:rPr>
          <w:rFonts w:hint="eastAsia" w:ascii="方正仿宋_GBK" w:hAnsi="宋体" w:eastAsia="方正仿宋_GBK"/>
          <w:szCs w:val="28"/>
        </w:rPr>
        <w:t>、电梯设备明细</w:t>
      </w:r>
      <w:r>
        <w:rPr>
          <w:rFonts w:hint="eastAsia" w:ascii="方正仿宋_GBK" w:hAnsi="宋体" w:eastAsia="方正仿宋_GBK"/>
          <w:szCs w:val="28"/>
        </w:rPr>
        <w:br w:type="textWrapping"/>
      </w:r>
      <w:r>
        <w:rPr>
          <w:rFonts w:hint="eastAsia" w:ascii="方正仿宋_GBK" w:hAnsi="宋体" w:eastAsia="方正仿宋_GBK"/>
          <w:szCs w:val="28"/>
        </w:rPr>
        <w:t>1.</w:t>
      </w:r>
      <w:r>
        <w:rPr>
          <w:rFonts w:hint="eastAsia" w:ascii="方正仿宋_GBK" w:hAnsi="宋体" w:eastAsia="方正仿宋_GBK"/>
          <w:szCs w:val="28"/>
          <w:lang w:val="en-US" w:eastAsia="zh-CN"/>
        </w:rPr>
        <w:t>无</w:t>
      </w:r>
      <w:r>
        <w:rPr>
          <w:rFonts w:hint="eastAsia" w:ascii="方正仿宋_GBK" w:hAnsi="宋体" w:eastAsia="方正仿宋_GBK"/>
          <w:szCs w:val="28"/>
        </w:rPr>
        <w:t>机房曳引驱动乘客电梯（</w:t>
      </w:r>
      <w:r>
        <w:rPr>
          <w:rFonts w:hint="eastAsia" w:ascii="方正仿宋_GBK" w:hAnsi="宋体" w:eastAsia="方正仿宋_GBK"/>
          <w:szCs w:val="28"/>
          <w:lang w:val="en-US" w:eastAsia="zh-CN"/>
        </w:rPr>
        <w:t>恒达富士</w:t>
      </w:r>
      <w:r>
        <w:rPr>
          <w:rFonts w:hint="eastAsia" w:ascii="方正仿宋_GBK" w:hAnsi="宋体" w:eastAsia="方正仿宋_GBK"/>
          <w:szCs w:val="28"/>
        </w:rPr>
        <w:t>电梯）：</w:t>
      </w:r>
      <w:r>
        <w:rPr>
          <w:rFonts w:hint="eastAsia" w:ascii="方正仿宋_GBK" w:hAnsi="宋体" w:eastAsia="方正仿宋_GBK"/>
          <w:szCs w:val="28"/>
        </w:rPr>
        <w:br w:type="textWrapping"/>
      </w:r>
      <w:r>
        <w:rPr>
          <w:rFonts w:hint="eastAsia" w:ascii="方正仿宋_GBK" w:hAnsi="宋体" w:eastAsia="方正仿宋_GBK"/>
          <w:szCs w:val="28"/>
        </w:rPr>
        <w:t>•</w:t>
      </w:r>
      <w:r>
        <w:rPr>
          <w:rFonts w:hint="eastAsia" w:ascii="方正仿宋_GBK" w:hAnsi="宋体" w:eastAsia="方正仿宋_GBK"/>
          <w:szCs w:val="28"/>
          <w:lang w:val="en-US" w:eastAsia="zh-CN"/>
        </w:rPr>
        <w:t>乘客电梯</w:t>
      </w:r>
      <w:r>
        <w:rPr>
          <w:rFonts w:hint="eastAsia" w:ascii="方正仿宋_GBK" w:hAnsi="宋体" w:eastAsia="方正仿宋_GBK"/>
          <w:szCs w:val="28"/>
        </w:rPr>
        <w:t>，数量</w:t>
      </w:r>
      <w:r>
        <w:rPr>
          <w:rFonts w:hint="eastAsia" w:ascii="方正仿宋_GBK" w:hAnsi="宋体" w:eastAsia="方正仿宋_GBK"/>
          <w:szCs w:val="28"/>
          <w:lang w:val="en-US" w:eastAsia="zh-CN"/>
        </w:rPr>
        <w:t>6</w:t>
      </w:r>
      <w:r>
        <w:rPr>
          <w:rFonts w:hint="eastAsia" w:ascii="方正仿宋_GBK" w:hAnsi="宋体" w:eastAsia="方正仿宋_GBK"/>
          <w:szCs w:val="28"/>
        </w:rPr>
        <w:t>台，额定速度1.</w:t>
      </w:r>
      <w:r>
        <w:rPr>
          <w:rFonts w:hint="eastAsia" w:ascii="方正仿宋_GBK" w:hAnsi="宋体" w:eastAsia="方正仿宋_GBK"/>
          <w:szCs w:val="28"/>
          <w:lang w:val="en-US" w:eastAsia="zh-CN"/>
        </w:rPr>
        <w:t>00</w:t>
      </w:r>
      <w:r>
        <w:rPr>
          <w:rFonts w:hint="eastAsia" w:ascii="方正仿宋_GBK" w:hAnsi="宋体" w:eastAsia="方正仿宋_GBK"/>
          <w:szCs w:val="28"/>
        </w:rPr>
        <w:t>m/s</w:t>
      </w:r>
      <w:r>
        <w:rPr>
          <w:rFonts w:hint="eastAsia" w:ascii="方正仿宋_GBK" w:hAnsi="宋体" w:eastAsia="方正仿宋_GBK"/>
          <w:szCs w:val="28"/>
          <w:lang w:eastAsia="zh-CN"/>
        </w:rPr>
        <w:t>，</w:t>
      </w:r>
      <w:r>
        <w:rPr>
          <w:rFonts w:hint="eastAsia" w:ascii="方正仿宋_GBK" w:hAnsi="宋体" w:eastAsia="方正仿宋_GBK"/>
          <w:szCs w:val="28"/>
          <w:lang w:val="en-US" w:eastAsia="zh-CN"/>
        </w:rPr>
        <w:t>具体参数见下表：</w:t>
      </w:r>
    </w:p>
    <w:tbl>
      <w:tblPr>
        <w:tblStyle w:val="6"/>
        <w:tblW w:w="99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645"/>
        <w:gridCol w:w="2016"/>
        <w:gridCol w:w="1234"/>
        <w:gridCol w:w="1833"/>
        <w:gridCol w:w="817"/>
        <w:gridCol w:w="1283"/>
        <w:gridCol w:w="1067"/>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9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编号</w:t>
            </w:r>
          </w:p>
        </w:tc>
        <w:tc>
          <w:tcPr>
            <w:tcW w:w="2016"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设备品种</w:t>
            </w:r>
          </w:p>
        </w:tc>
        <w:tc>
          <w:tcPr>
            <w:tcW w:w="1234"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制造单位</w:t>
            </w:r>
          </w:p>
        </w:tc>
        <w:tc>
          <w:tcPr>
            <w:tcW w:w="183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型号</w:t>
            </w:r>
          </w:p>
        </w:tc>
        <w:tc>
          <w:tcPr>
            <w:tcW w:w="817"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层站</w:t>
            </w:r>
          </w:p>
        </w:tc>
        <w:tc>
          <w:tcPr>
            <w:tcW w:w="128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额定载重量</w:t>
            </w:r>
          </w:p>
        </w:tc>
        <w:tc>
          <w:tcPr>
            <w:tcW w:w="1067"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额定速度</w:t>
            </w:r>
          </w:p>
        </w:tc>
        <w:tc>
          <w:tcPr>
            <w:tcW w:w="1100"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控制方式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9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1</w:t>
            </w:r>
          </w:p>
        </w:tc>
        <w:tc>
          <w:tcPr>
            <w:tcW w:w="2016"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曳引驱动乘客电梯</w:t>
            </w:r>
          </w:p>
        </w:tc>
        <w:tc>
          <w:tcPr>
            <w:tcW w:w="1234"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恒达富士</w:t>
            </w:r>
          </w:p>
        </w:tc>
        <w:tc>
          <w:tcPr>
            <w:tcW w:w="183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FHNB-1800/1.0</w:t>
            </w:r>
          </w:p>
        </w:tc>
        <w:tc>
          <w:tcPr>
            <w:tcW w:w="81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3</w:t>
            </w:r>
          </w:p>
        </w:tc>
        <w:tc>
          <w:tcPr>
            <w:tcW w:w="128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1800kg</w:t>
            </w:r>
          </w:p>
        </w:tc>
        <w:tc>
          <w:tcPr>
            <w:tcW w:w="106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1m/s</w:t>
            </w:r>
          </w:p>
        </w:tc>
        <w:tc>
          <w:tcPr>
            <w:tcW w:w="1100"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集选控制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9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2</w:t>
            </w:r>
          </w:p>
        </w:tc>
        <w:tc>
          <w:tcPr>
            <w:tcW w:w="2016"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曳引驱动乘客电梯</w:t>
            </w:r>
          </w:p>
        </w:tc>
        <w:tc>
          <w:tcPr>
            <w:tcW w:w="1234"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恒达富士</w:t>
            </w:r>
          </w:p>
        </w:tc>
        <w:tc>
          <w:tcPr>
            <w:tcW w:w="1833"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FHNB-1800/1.0</w:t>
            </w:r>
          </w:p>
        </w:tc>
        <w:tc>
          <w:tcPr>
            <w:tcW w:w="81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6</w:t>
            </w:r>
          </w:p>
        </w:tc>
        <w:tc>
          <w:tcPr>
            <w:tcW w:w="128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1800kg</w:t>
            </w:r>
          </w:p>
        </w:tc>
        <w:tc>
          <w:tcPr>
            <w:tcW w:w="106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1m/s</w:t>
            </w:r>
          </w:p>
        </w:tc>
        <w:tc>
          <w:tcPr>
            <w:tcW w:w="1100"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集选控制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9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3</w:t>
            </w:r>
          </w:p>
        </w:tc>
        <w:tc>
          <w:tcPr>
            <w:tcW w:w="2016"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曳引驱动乘客电梯</w:t>
            </w:r>
          </w:p>
        </w:tc>
        <w:tc>
          <w:tcPr>
            <w:tcW w:w="1234"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恒达富士</w:t>
            </w:r>
          </w:p>
        </w:tc>
        <w:tc>
          <w:tcPr>
            <w:tcW w:w="1833"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FHNB-1600/1.0</w:t>
            </w:r>
          </w:p>
        </w:tc>
        <w:tc>
          <w:tcPr>
            <w:tcW w:w="81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4</w:t>
            </w:r>
          </w:p>
        </w:tc>
        <w:tc>
          <w:tcPr>
            <w:tcW w:w="128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1600kg</w:t>
            </w:r>
          </w:p>
        </w:tc>
        <w:tc>
          <w:tcPr>
            <w:tcW w:w="106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1m/s</w:t>
            </w:r>
          </w:p>
        </w:tc>
        <w:tc>
          <w:tcPr>
            <w:tcW w:w="1100"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集选控制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9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4</w:t>
            </w:r>
          </w:p>
        </w:tc>
        <w:tc>
          <w:tcPr>
            <w:tcW w:w="2016"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曳引驱动乘客电梯</w:t>
            </w:r>
          </w:p>
        </w:tc>
        <w:tc>
          <w:tcPr>
            <w:tcW w:w="1234"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恒达富士</w:t>
            </w:r>
          </w:p>
        </w:tc>
        <w:tc>
          <w:tcPr>
            <w:tcW w:w="1833"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FHNB-1600/1.0</w:t>
            </w:r>
          </w:p>
        </w:tc>
        <w:tc>
          <w:tcPr>
            <w:tcW w:w="81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5</w:t>
            </w:r>
          </w:p>
        </w:tc>
        <w:tc>
          <w:tcPr>
            <w:tcW w:w="128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1600kg</w:t>
            </w:r>
          </w:p>
        </w:tc>
        <w:tc>
          <w:tcPr>
            <w:tcW w:w="106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1m/s</w:t>
            </w:r>
          </w:p>
        </w:tc>
        <w:tc>
          <w:tcPr>
            <w:tcW w:w="1100"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集选控制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9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5</w:t>
            </w:r>
          </w:p>
        </w:tc>
        <w:tc>
          <w:tcPr>
            <w:tcW w:w="2016"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曳引驱动乘客电梯</w:t>
            </w:r>
          </w:p>
        </w:tc>
        <w:tc>
          <w:tcPr>
            <w:tcW w:w="1234"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恒达富士</w:t>
            </w:r>
          </w:p>
        </w:tc>
        <w:tc>
          <w:tcPr>
            <w:tcW w:w="1833"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FHNB-1600/1.0</w:t>
            </w:r>
          </w:p>
        </w:tc>
        <w:tc>
          <w:tcPr>
            <w:tcW w:w="81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4</w:t>
            </w:r>
          </w:p>
        </w:tc>
        <w:tc>
          <w:tcPr>
            <w:tcW w:w="128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1600kg</w:t>
            </w:r>
          </w:p>
        </w:tc>
        <w:tc>
          <w:tcPr>
            <w:tcW w:w="106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1m/s</w:t>
            </w:r>
          </w:p>
        </w:tc>
        <w:tc>
          <w:tcPr>
            <w:tcW w:w="1100"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集选控制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04"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6</w:t>
            </w:r>
          </w:p>
        </w:tc>
        <w:tc>
          <w:tcPr>
            <w:tcW w:w="2016"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曳引驱动乘客电梯</w:t>
            </w:r>
          </w:p>
        </w:tc>
        <w:tc>
          <w:tcPr>
            <w:tcW w:w="1234"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恒达富士</w:t>
            </w:r>
          </w:p>
        </w:tc>
        <w:tc>
          <w:tcPr>
            <w:tcW w:w="1833"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FHNB-1600/1.0</w:t>
            </w:r>
          </w:p>
        </w:tc>
        <w:tc>
          <w:tcPr>
            <w:tcW w:w="817" w:type="dxa"/>
          </w:tcPr>
          <w:p>
            <w:pPr>
              <w:snapToGrid w:val="0"/>
              <w:spacing w:line="400" w:lineRule="exact"/>
              <w:jc w:val="center"/>
              <w:rPr>
                <w:rFonts w:hint="eastAsia"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5</w:t>
            </w:r>
          </w:p>
        </w:tc>
        <w:tc>
          <w:tcPr>
            <w:tcW w:w="1283"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1600kg</w:t>
            </w:r>
          </w:p>
        </w:tc>
        <w:tc>
          <w:tcPr>
            <w:tcW w:w="1067" w:type="dxa"/>
          </w:tcPr>
          <w:p>
            <w:pPr>
              <w:snapToGrid w:val="0"/>
              <w:spacing w:line="400" w:lineRule="exact"/>
              <w:jc w:val="center"/>
              <w:rPr>
                <w:rFonts w:hint="default" w:ascii="方正仿宋_GBK" w:hAnsi="宋体" w:eastAsia="方正仿宋_GBK"/>
                <w:sz w:val="22"/>
                <w:szCs w:val="22"/>
                <w:vertAlign w:val="baseline"/>
                <w:lang w:val="en-US" w:eastAsia="zh-CN"/>
              </w:rPr>
            </w:pPr>
            <w:r>
              <w:rPr>
                <w:rFonts w:hint="eastAsia" w:ascii="方正仿宋_GBK" w:hAnsi="宋体" w:eastAsia="方正仿宋_GBK"/>
                <w:sz w:val="22"/>
                <w:szCs w:val="22"/>
                <w:vertAlign w:val="baseline"/>
                <w:lang w:val="en-US" w:eastAsia="zh-CN"/>
              </w:rPr>
              <w:t>1m/s</w:t>
            </w:r>
          </w:p>
        </w:tc>
        <w:tc>
          <w:tcPr>
            <w:tcW w:w="1100" w:type="dxa"/>
          </w:tcPr>
          <w:p>
            <w:pPr>
              <w:snapToGrid w:val="0"/>
              <w:spacing w:line="400" w:lineRule="exact"/>
              <w:jc w:val="center"/>
              <w:rPr>
                <w:rFonts w:hint="eastAsia" w:ascii="方正仿宋_GBK" w:hAnsi="宋体" w:eastAsia="方正仿宋_GBK"/>
                <w:sz w:val="22"/>
                <w:szCs w:val="22"/>
                <w:vertAlign w:val="baseline"/>
              </w:rPr>
            </w:pPr>
            <w:r>
              <w:rPr>
                <w:rFonts w:hint="eastAsia" w:ascii="方正仿宋_GBK" w:hAnsi="宋体" w:eastAsia="方正仿宋_GBK"/>
                <w:sz w:val="22"/>
                <w:szCs w:val="22"/>
                <w:vertAlign w:val="baseline"/>
                <w:lang w:val="en-US" w:eastAsia="zh-CN"/>
              </w:rPr>
              <w:t>集选控制</w:t>
            </w:r>
          </w:p>
        </w:tc>
      </w:tr>
    </w:tbl>
    <w:p>
      <w:pPr>
        <w:snapToGrid w:val="0"/>
        <w:spacing w:line="400" w:lineRule="exact"/>
        <w:ind w:firstLine="560" w:firstLineChars="200"/>
        <w:rPr>
          <w:rFonts w:hint="eastAsia" w:ascii="方正仿宋_GBK" w:hAnsi="宋体" w:eastAsia="方正仿宋_GBK"/>
          <w:szCs w:val="28"/>
          <w:lang w:eastAsia="zh-CN"/>
        </w:rPr>
      </w:pPr>
      <w:r>
        <w:rPr>
          <w:rFonts w:hint="eastAsia" w:ascii="方正仿宋_GBK" w:hAnsi="宋体" w:eastAsia="方正仿宋_GBK"/>
          <w:szCs w:val="28"/>
        </w:rPr>
        <w:br w:type="textWrapping"/>
      </w:r>
      <w:r>
        <w:rPr>
          <w:rFonts w:hint="eastAsia" w:ascii="方正仿宋_GBK" w:hAnsi="宋体" w:eastAsia="方正仿宋_GBK"/>
          <w:szCs w:val="28"/>
        </w:rPr>
        <w:t>2.</w:t>
      </w:r>
      <w:r>
        <w:rPr>
          <w:rFonts w:hint="eastAsia" w:ascii="方正仿宋_GBK" w:hAnsi="宋体" w:eastAsia="方正仿宋_GBK"/>
          <w:szCs w:val="28"/>
          <w:lang w:val="en-US" w:eastAsia="zh-CN"/>
        </w:rPr>
        <w:t>杂物</w:t>
      </w:r>
      <w:r>
        <w:rPr>
          <w:rFonts w:hint="eastAsia" w:ascii="方正仿宋_GBK" w:hAnsi="宋体" w:eastAsia="方正仿宋_GBK"/>
          <w:szCs w:val="28"/>
        </w:rPr>
        <w:t>电梯（</w:t>
      </w:r>
      <w:r>
        <w:rPr>
          <w:rFonts w:hint="eastAsia" w:ascii="方正仿宋_GBK" w:hAnsi="宋体" w:eastAsia="方正仿宋_GBK"/>
          <w:szCs w:val="28"/>
          <w:lang w:val="en-US" w:eastAsia="zh-CN"/>
        </w:rPr>
        <w:t>松本润龙电梯</w:t>
      </w:r>
      <w:r>
        <w:rPr>
          <w:rFonts w:hint="eastAsia" w:ascii="方正仿宋_GBK" w:hAnsi="宋体" w:eastAsia="方正仿宋_GBK"/>
          <w:szCs w:val="28"/>
        </w:rPr>
        <w:t>）：</w:t>
      </w:r>
      <w:r>
        <w:rPr>
          <w:rFonts w:hint="eastAsia" w:ascii="方正仿宋_GBK" w:hAnsi="宋体" w:eastAsia="方正仿宋_GBK"/>
          <w:szCs w:val="28"/>
        </w:rPr>
        <w:br w:type="textWrapping"/>
      </w:r>
      <w:r>
        <w:rPr>
          <w:rFonts w:hint="eastAsia" w:ascii="方正仿宋_GBK" w:hAnsi="宋体" w:eastAsia="方正仿宋_GBK"/>
          <w:szCs w:val="28"/>
        </w:rPr>
        <w:t>•型号</w:t>
      </w:r>
      <w:r>
        <w:rPr>
          <w:rFonts w:hint="eastAsia" w:ascii="方正仿宋_GBK" w:hAnsi="宋体" w:eastAsia="方正仿宋_GBK"/>
          <w:szCs w:val="28"/>
          <w:lang w:val="en-US" w:eastAsia="zh-CN"/>
        </w:rPr>
        <w:t>TW-15406#</w:t>
      </w:r>
      <w:r>
        <w:rPr>
          <w:rFonts w:hint="eastAsia" w:ascii="方正仿宋_GBK" w:hAnsi="宋体" w:eastAsia="方正仿宋_GBK"/>
          <w:szCs w:val="28"/>
        </w:rPr>
        <w:t>，数量</w:t>
      </w:r>
      <w:r>
        <w:rPr>
          <w:rFonts w:hint="eastAsia" w:ascii="方正仿宋_GBK" w:hAnsi="宋体" w:eastAsia="方正仿宋_GBK"/>
          <w:szCs w:val="28"/>
          <w:lang w:val="en-US" w:eastAsia="zh-CN"/>
        </w:rPr>
        <w:t>1</w:t>
      </w:r>
      <w:r>
        <w:rPr>
          <w:rFonts w:hint="eastAsia" w:ascii="方正仿宋_GBK" w:hAnsi="宋体" w:eastAsia="方正仿宋_GBK"/>
          <w:szCs w:val="28"/>
        </w:rPr>
        <w:t>台，</w:t>
      </w:r>
      <w:r>
        <w:rPr>
          <w:rFonts w:hint="eastAsia" w:ascii="方正仿宋_GBK" w:hAnsi="宋体" w:eastAsia="方正仿宋_GBK"/>
          <w:szCs w:val="28"/>
          <w:lang w:val="en-US" w:eastAsia="zh-CN"/>
        </w:rPr>
        <w:t>电梯站数2，</w:t>
      </w:r>
      <w:r>
        <w:rPr>
          <w:rFonts w:hint="eastAsia" w:ascii="方正仿宋_GBK" w:hAnsi="宋体" w:eastAsia="方正仿宋_GBK"/>
          <w:szCs w:val="28"/>
        </w:rPr>
        <w:t>额定载重量2</w:t>
      </w:r>
      <w:r>
        <w:rPr>
          <w:rFonts w:hint="eastAsia" w:ascii="方正仿宋_GBK" w:hAnsi="宋体" w:eastAsia="方正仿宋_GBK"/>
          <w:szCs w:val="28"/>
          <w:lang w:val="en-US" w:eastAsia="zh-CN"/>
        </w:rPr>
        <w:t>50</w:t>
      </w:r>
      <w:r>
        <w:rPr>
          <w:rFonts w:hint="eastAsia" w:ascii="方正仿宋_GBK" w:hAnsi="宋体" w:eastAsia="方正仿宋_GBK"/>
          <w:szCs w:val="28"/>
        </w:rPr>
        <w:t>kg，</w:t>
      </w:r>
      <w:r>
        <w:rPr>
          <w:rFonts w:hint="eastAsia" w:ascii="方正仿宋_GBK" w:hAnsi="宋体" w:eastAsia="方正仿宋_GBK"/>
          <w:szCs w:val="28"/>
          <w:lang w:val="en-US" w:eastAsia="zh-CN"/>
        </w:rPr>
        <w:t>额定</w:t>
      </w:r>
      <w:r>
        <w:rPr>
          <w:rFonts w:hint="eastAsia" w:ascii="方正仿宋_GBK" w:hAnsi="宋体" w:eastAsia="方正仿宋_GBK"/>
          <w:szCs w:val="28"/>
        </w:rPr>
        <w:t>速度</w:t>
      </w:r>
      <w:r>
        <w:rPr>
          <w:rFonts w:hint="eastAsia" w:ascii="方正仿宋_GBK" w:hAnsi="宋体" w:eastAsia="方正仿宋_GBK"/>
          <w:szCs w:val="28"/>
          <w:lang w:val="en-US" w:eastAsia="zh-CN"/>
        </w:rPr>
        <w:t>0</w:t>
      </w:r>
      <w:r>
        <w:rPr>
          <w:rFonts w:hint="eastAsia" w:ascii="方正仿宋_GBK" w:hAnsi="宋体" w:eastAsia="方正仿宋_GBK"/>
          <w:szCs w:val="28"/>
        </w:rPr>
        <w:t>.</w:t>
      </w:r>
      <w:r>
        <w:rPr>
          <w:rFonts w:hint="eastAsia" w:ascii="方正仿宋_GBK" w:hAnsi="宋体" w:eastAsia="方正仿宋_GBK"/>
          <w:szCs w:val="28"/>
          <w:lang w:val="en-US" w:eastAsia="zh-CN"/>
        </w:rPr>
        <w:t>4</w:t>
      </w:r>
      <w:r>
        <w:rPr>
          <w:rFonts w:hint="eastAsia" w:ascii="方正仿宋_GBK" w:hAnsi="宋体" w:eastAsia="方正仿宋_GBK"/>
          <w:szCs w:val="28"/>
        </w:rPr>
        <w:t>m/s</w:t>
      </w:r>
      <w:r>
        <w:rPr>
          <w:rFonts w:hint="eastAsia" w:ascii="方正仿宋_GBK" w:hAnsi="宋体" w:eastAsia="方正仿宋_GBK"/>
          <w:szCs w:val="28"/>
          <w:lang w:eastAsia="zh-CN"/>
        </w:rPr>
        <w:t>：</w:t>
      </w:r>
    </w:p>
    <w:tbl>
      <w:tblPr>
        <w:tblStyle w:val="6"/>
        <w:tblW w:w="100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645"/>
        <w:gridCol w:w="2033"/>
        <w:gridCol w:w="1233"/>
        <w:gridCol w:w="1817"/>
        <w:gridCol w:w="817"/>
        <w:gridCol w:w="1283"/>
        <w:gridCol w:w="1067"/>
        <w:gridCol w:w="1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43"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编号</w:t>
            </w:r>
          </w:p>
        </w:tc>
        <w:tc>
          <w:tcPr>
            <w:tcW w:w="203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设备品种</w:t>
            </w:r>
          </w:p>
        </w:tc>
        <w:tc>
          <w:tcPr>
            <w:tcW w:w="123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制造单位</w:t>
            </w:r>
          </w:p>
        </w:tc>
        <w:tc>
          <w:tcPr>
            <w:tcW w:w="1817"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型号</w:t>
            </w:r>
          </w:p>
        </w:tc>
        <w:tc>
          <w:tcPr>
            <w:tcW w:w="817"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层站</w:t>
            </w:r>
          </w:p>
        </w:tc>
        <w:tc>
          <w:tcPr>
            <w:tcW w:w="128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额定载重量</w:t>
            </w:r>
          </w:p>
        </w:tc>
        <w:tc>
          <w:tcPr>
            <w:tcW w:w="1067"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额定速度</w:t>
            </w:r>
          </w:p>
        </w:tc>
        <w:tc>
          <w:tcPr>
            <w:tcW w:w="1116"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控制方式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443" w:hRule="atLeast"/>
        </w:trPr>
        <w:tc>
          <w:tcPr>
            <w:tcW w:w="645" w:type="dxa"/>
          </w:tcPr>
          <w:p>
            <w:pPr>
              <w:snapToGrid w:val="0"/>
              <w:spacing w:line="400" w:lineRule="exact"/>
              <w:jc w:val="center"/>
              <w:rPr>
                <w:rFonts w:hint="eastAsia"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1</w:t>
            </w:r>
          </w:p>
        </w:tc>
        <w:tc>
          <w:tcPr>
            <w:tcW w:w="203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杂物电梯</w:t>
            </w:r>
          </w:p>
        </w:tc>
        <w:tc>
          <w:tcPr>
            <w:tcW w:w="123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松本润龙</w:t>
            </w:r>
          </w:p>
        </w:tc>
        <w:tc>
          <w:tcPr>
            <w:tcW w:w="1817"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TW-15406#</w:t>
            </w:r>
          </w:p>
        </w:tc>
        <w:tc>
          <w:tcPr>
            <w:tcW w:w="817"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2</w:t>
            </w:r>
          </w:p>
        </w:tc>
        <w:tc>
          <w:tcPr>
            <w:tcW w:w="1283"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250</w:t>
            </w:r>
          </w:p>
        </w:tc>
        <w:tc>
          <w:tcPr>
            <w:tcW w:w="1067"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0.4m/s</w:t>
            </w:r>
          </w:p>
        </w:tc>
        <w:tc>
          <w:tcPr>
            <w:tcW w:w="1116" w:type="dxa"/>
          </w:tcPr>
          <w:p>
            <w:pPr>
              <w:snapToGrid w:val="0"/>
              <w:spacing w:line="400" w:lineRule="exact"/>
              <w:jc w:val="center"/>
              <w:rPr>
                <w:rFonts w:hint="default" w:ascii="方正仿宋_GBK" w:hAnsi="宋体" w:eastAsia="方正仿宋_GBK"/>
                <w:sz w:val="21"/>
                <w:szCs w:val="21"/>
                <w:vertAlign w:val="baseline"/>
                <w:lang w:val="en-US" w:eastAsia="zh-CN"/>
              </w:rPr>
            </w:pPr>
            <w:r>
              <w:rPr>
                <w:rFonts w:hint="eastAsia" w:ascii="方正仿宋_GBK" w:hAnsi="宋体" w:eastAsia="方正仿宋_GBK"/>
                <w:sz w:val="21"/>
                <w:szCs w:val="21"/>
                <w:vertAlign w:val="baseline"/>
                <w:lang w:val="en-US" w:eastAsia="zh-CN"/>
              </w:rPr>
              <w:t>按钮</w:t>
            </w:r>
          </w:p>
        </w:tc>
      </w:tr>
    </w:tbl>
    <w:p>
      <w:pPr>
        <w:snapToGrid w:val="0"/>
        <w:spacing w:line="400" w:lineRule="exact"/>
        <w:ind w:firstLine="560" w:firstLineChars="200"/>
        <w:rPr>
          <w:rFonts w:hint="eastAsia" w:ascii="方正仿宋_GBK" w:hAnsi="宋体" w:eastAsia="方正仿宋_GBK"/>
          <w:szCs w:val="28"/>
        </w:rPr>
      </w:pPr>
    </w:p>
    <w:p>
      <w:pPr>
        <w:snapToGrid w:val="0"/>
        <w:spacing w:line="400" w:lineRule="exact"/>
        <w:rPr>
          <w:rFonts w:hint="eastAsia" w:ascii="方正仿宋_GBK" w:hAnsi="宋体" w:eastAsia="方正仿宋_GBK"/>
          <w:szCs w:val="28"/>
        </w:rPr>
      </w:pPr>
      <w:r>
        <w:rPr>
          <w:rFonts w:hint="eastAsia" w:ascii="方正仿宋_GBK" w:hAnsi="宋体" w:eastAsia="方正仿宋_GBK"/>
          <w:szCs w:val="28"/>
          <w:lang w:eastAsia="zh-CN"/>
        </w:rPr>
        <w:t>五、电梯维保服务要求</w:t>
      </w:r>
      <w:r>
        <w:rPr>
          <w:rFonts w:hint="eastAsia" w:ascii="方正仿宋_GBK" w:hAnsi="宋体" w:eastAsia="方正仿宋_GBK"/>
          <w:szCs w:val="28"/>
        </w:rPr>
        <w:br w:type="textWrapping"/>
      </w:r>
      <w:r>
        <w:rPr>
          <w:rFonts w:hint="eastAsia" w:ascii="方正仿宋_GBK" w:hAnsi="宋体" w:eastAsia="方正仿宋_GBK"/>
          <w:szCs w:val="28"/>
        </w:rPr>
        <w:t>针对上述电梯设备，维保服务应至少包括但不限于以下内容：</w:t>
      </w:r>
    </w:p>
    <w:p>
      <w:pPr>
        <w:snapToGrid w:val="0"/>
        <w:spacing w:line="400" w:lineRule="exact"/>
        <w:rPr>
          <w:rFonts w:hint="eastAsia" w:ascii="方正仿宋_GBK" w:hAnsi="宋体" w:eastAsia="方正仿宋_GBK"/>
          <w:szCs w:val="28"/>
          <w:lang w:eastAsia="zh-CN"/>
        </w:rPr>
      </w:pPr>
      <w:r>
        <w:rPr>
          <w:rFonts w:hint="eastAsia" w:ascii="方正仿宋_GBK" w:hAnsi="宋体" w:eastAsia="方正仿宋_GBK"/>
          <w:szCs w:val="28"/>
        </w:rPr>
        <w:t>•质量记录与报告：建立完整的维保档案，每次维保后提交详细的维保报告，记录维保过程、发现的问题、处理措施及建议，确保维保工作的可追溯性。</w:t>
      </w:r>
      <w:r>
        <w:rPr>
          <w:rFonts w:hint="eastAsia" w:ascii="方正仿宋_GBK" w:hAnsi="宋体" w:eastAsia="方正仿宋_GBK"/>
          <w:szCs w:val="28"/>
        </w:rPr>
        <w:br w:type="textWrapping"/>
      </w:r>
      <w:r>
        <w:rPr>
          <w:rFonts w:hint="eastAsia" w:ascii="方正仿宋_GBK" w:hAnsi="宋体" w:eastAsia="方正仿宋_GBK"/>
          <w:szCs w:val="28"/>
        </w:rPr>
        <w:t>•定期巡检与保养：按照国家及地方相关法规、行业标准以及设备制造商的推荐维护周期，进行定期的预防性检查、清洁、润滑、调整和更换易损件等工作。</w:t>
      </w:r>
      <w:r>
        <w:rPr>
          <w:rFonts w:hint="eastAsia" w:ascii="方正仿宋_GBK" w:hAnsi="宋体" w:eastAsia="方正仿宋_GBK"/>
          <w:szCs w:val="28"/>
        </w:rPr>
        <w:br w:type="textWrapping"/>
      </w:r>
      <w:r>
        <w:rPr>
          <w:rFonts w:hint="eastAsia" w:ascii="方正仿宋_GBK" w:hAnsi="宋体" w:eastAsia="方正仿宋_GBK"/>
          <w:szCs w:val="28"/>
        </w:rPr>
        <w:t>•应急响应与故障排除：提供24小时紧急故障报修服务，承诺在规定时间内到达现场并迅速处理故障，确保电梯尽快恢复正常运行。</w:t>
      </w:r>
      <w:r>
        <w:rPr>
          <w:rFonts w:hint="eastAsia" w:ascii="方正仿宋_GBK" w:hAnsi="宋体" w:eastAsia="方正仿宋_GBK"/>
          <w:szCs w:val="28"/>
        </w:rPr>
        <w:br w:type="textWrapping"/>
      </w:r>
      <w:r>
        <w:rPr>
          <w:rFonts w:hint="eastAsia" w:ascii="方正仿宋_GBK" w:hAnsi="宋体" w:eastAsia="方正仿宋_GBK"/>
          <w:szCs w:val="28"/>
        </w:rPr>
        <w:t>•年检：完成年度安全检测工作，确保所有电梯设备顺利通过相关部门的年检，并取得合格证书。</w:t>
      </w:r>
      <w:r>
        <w:rPr>
          <w:rFonts w:hint="eastAsia" w:ascii="方正仿宋_GBK" w:hAnsi="宋体" w:eastAsia="方正仿宋_GBK"/>
          <w:szCs w:val="28"/>
        </w:rPr>
        <w:br w:type="textWrapping"/>
      </w:r>
      <w:r>
        <w:rPr>
          <w:rFonts w:hint="eastAsia" w:ascii="方正仿宋_GBK" w:hAnsi="宋体" w:eastAsia="方正仿宋_GBK"/>
          <w:szCs w:val="28"/>
        </w:rPr>
        <w:t>•技术咨询与培训：为甲方提供电梯使用、管理的技术咨询服务，以及必要的操作人员培训，提升电梯使用方的安全意识和操作技能。</w:t>
      </w:r>
      <w:r>
        <w:rPr>
          <w:rFonts w:hint="eastAsia" w:ascii="方正仿宋_GBK" w:hAnsi="宋体" w:eastAsia="方正仿宋_GBK"/>
          <w:szCs w:val="28"/>
        </w:rPr>
        <w:br w:type="textWrapping"/>
      </w:r>
      <w:r>
        <w:rPr>
          <w:rFonts w:hint="eastAsia" w:ascii="方正仿宋_GBK" w:hAnsi="宋体" w:eastAsia="方正仿宋_GBK"/>
          <w:szCs w:val="28"/>
        </w:rPr>
        <w:t>•</w:t>
      </w:r>
      <w:r>
        <w:rPr>
          <w:rFonts w:hint="eastAsia" w:ascii="方正仿宋_GBK" w:hAnsi="宋体" w:eastAsia="方正仿宋_GBK"/>
          <w:szCs w:val="28"/>
          <w:lang w:eastAsia="zh-CN"/>
        </w:rPr>
        <w:t>应当按照有关安全技术规范及电梯产品安装使用维护说明书的要求，定制维保方案，确保其电梯安全性能。</w:t>
      </w:r>
    </w:p>
    <w:p>
      <w:pPr>
        <w:snapToGrid w:val="0"/>
        <w:spacing w:line="400" w:lineRule="exact"/>
        <w:rPr>
          <w:rFonts w:hint="eastAsia" w:ascii="方正仿宋_GBK" w:hAnsi="宋体" w:eastAsia="方正仿宋_GBK"/>
          <w:szCs w:val="28"/>
          <w:lang w:eastAsia="zh-CN"/>
        </w:rPr>
      </w:pPr>
      <w:r>
        <w:rPr>
          <w:rFonts w:hint="eastAsia" w:ascii="方正仿宋_GBK" w:hAnsi="宋体" w:eastAsia="方正仿宋_GBK"/>
          <w:szCs w:val="28"/>
        </w:rPr>
        <w:t>•</w:t>
      </w:r>
      <w:r>
        <w:rPr>
          <w:rFonts w:hint="eastAsia" w:ascii="方正仿宋_GBK" w:hAnsi="宋体" w:eastAsia="方正仿宋_GBK"/>
          <w:szCs w:val="28"/>
          <w:lang w:eastAsia="zh-CN"/>
        </w:rPr>
        <w:t>应对电梯发生的故障等情况，及时进行详细记录，并书面向院方电梯使用方出具故障等情况说明。</w:t>
      </w:r>
    </w:p>
    <w:p>
      <w:pPr>
        <w:snapToGrid w:val="0"/>
        <w:spacing w:line="400" w:lineRule="exact"/>
        <w:rPr>
          <w:rFonts w:hint="eastAsia" w:ascii="方正仿宋_GBK" w:hAnsi="宋体" w:eastAsia="方正仿宋_GBK"/>
          <w:szCs w:val="28"/>
          <w:lang w:eastAsia="zh-CN"/>
        </w:rPr>
      </w:pPr>
      <w:r>
        <w:rPr>
          <w:rFonts w:hint="eastAsia" w:ascii="方正仿宋_GBK" w:hAnsi="宋体" w:eastAsia="方正仿宋_GBK"/>
          <w:szCs w:val="28"/>
        </w:rPr>
        <w:t>•</w:t>
      </w:r>
      <w:r>
        <w:rPr>
          <w:rFonts w:hint="eastAsia" w:ascii="方正仿宋_GBK" w:hAnsi="宋体" w:eastAsia="方正仿宋_GBK"/>
          <w:szCs w:val="28"/>
          <w:lang w:eastAsia="zh-CN"/>
        </w:rPr>
        <w:t>应建立每部电梯的维保记录，并且归入电梯技术档案（双方存档）。</w:t>
      </w:r>
    </w:p>
    <w:p>
      <w:pPr>
        <w:snapToGrid w:val="0"/>
        <w:spacing w:line="400" w:lineRule="exact"/>
        <w:rPr>
          <w:rFonts w:hint="eastAsia" w:ascii="方正仿宋_GBK" w:hAnsi="宋体" w:eastAsia="方正仿宋_GBK"/>
          <w:szCs w:val="28"/>
        </w:rPr>
      </w:pPr>
      <w:r>
        <w:rPr>
          <w:rFonts w:hint="eastAsia" w:ascii="方正仿宋_GBK" w:hAnsi="宋体" w:eastAsia="方正仿宋_GBK"/>
          <w:szCs w:val="28"/>
        </w:rPr>
        <w:t>•</w:t>
      </w:r>
      <w:r>
        <w:rPr>
          <w:rFonts w:hint="eastAsia" w:ascii="方正仿宋_GBK" w:hAnsi="宋体" w:eastAsia="方正仿宋_GBK"/>
          <w:szCs w:val="28"/>
          <w:lang w:eastAsia="zh-CN"/>
        </w:rPr>
        <w:t>应当协助院方完善电梯的安全管理制度和应急救援预案及配合院方进行电梯救援演习。</w:t>
      </w:r>
      <w:r>
        <w:rPr>
          <w:rFonts w:hint="eastAsia" w:ascii="方正仿宋_GBK" w:hAnsi="宋体" w:eastAsia="方正仿宋_GBK"/>
          <w:szCs w:val="28"/>
        </w:rPr>
        <w:br w:type="textWrapping"/>
      </w:r>
      <w:r>
        <w:rPr>
          <w:rFonts w:hint="eastAsia" w:ascii="方正仿宋_GBK" w:hAnsi="宋体" w:eastAsia="方正仿宋_GBK"/>
          <w:szCs w:val="28"/>
        </w:rPr>
        <w:br w:type="textWrapping"/>
      </w:r>
      <w:r>
        <w:rPr>
          <w:rFonts w:hint="eastAsia" w:ascii="方正仿宋_GBK" w:hAnsi="宋体" w:eastAsia="方正仿宋_GBK"/>
          <w:szCs w:val="28"/>
          <w:lang w:eastAsia="zh-CN"/>
        </w:rPr>
        <w:t>六</w:t>
      </w:r>
      <w:r>
        <w:rPr>
          <w:rFonts w:hint="eastAsia" w:ascii="方正仿宋_GBK" w:hAnsi="宋体" w:eastAsia="方正仿宋_GBK"/>
          <w:szCs w:val="28"/>
        </w:rPr>
        <w:t>、投标资格与要求</w:t>
      </w:r>
      <w:r>
        <w:rPr>
          <w:rFonts w:hint="eastAsia" w:ascii="方正仿宋_GBK" w:hAnsi="宋体" w:eastAsia="方正仿宋_GBK"/>
          <w:szCs w:val="28"/>
        </w:rPr>
        <w:br w:type="textWrapping"/>
      </w:r>
      <w:r>
        <w:rPr>
          <w:rFonts w:hint="eastAsia" w:ascii="方正仿宋_GBK" w:hAnsi="宋体" w:eastAsia="方正仿宋_GBK"/>
          <w:szCs w:val="28"/>
        </w:rPr>
        <w:t>•资质条件：投标人须具备有效的电梯安装、改造、维修A级或B级资质，且在有效期内。</w:t>
      </w:r>
      <w:r>
        <w:rPr>
          <w:rFonts w:hint="eastAsia" w:ascii="方正仿宋_GBK" w:hAnsi="宋体" w:eastAsia="方正仿宋_GBK"/>
          <w:szCs w:val="28"/>
        </w:rPr>
        <w:br w:type="textWrapping"/>
      </w:r>
      <w:r>
        <w:rPr>
          <w:rFonts w:hint="eastAsia" w:ascii="方正仿宋_GBK" w:hAnsi="宋体" w:eastAsia="方正仿宋_GBK"/>
          <w:szCs w:val="28"/>
        </w:rPr>
        <w:t>•业绩经验：具</w:t>
      </w:r>
      <w:r>
        <w:rPr>
          <w:rFonts w:hint="eastAsia" w:ascii="方正仿宋_GBK" w:hAnsi="宋体" w:eastAsia="方正仿宋_GBK"/>
          <w:szCs w:val="28"/>
          <w:lang w:val="en-US" w:eastAsia="zh-CN"/>
        </w:rPr>
        <w:t>备</w:t>
      </w:r>
      <w:bookmarkStart w:id="1" w:name="_GoBack"/>
      <w:bookmarkEnd w:id="1"/>
      <w:r>
        <w:rPr>
          <w:rFonts w:hint="eastAsia" w:ascii="方正仿宋_GBK" w:hAnsi="宋体" w:eastAsia="方正仿宋_GBK"/>
          <w:szCs w:val="28"/>
        </w:rPr>
        <w:t>同类电梯设备维保的成功案例，特别是对日立电梯品牌的维保经验。</w:t>
      </w:r>
      <w:r>
        <w:rPr>
          <w:rFonts w:hint="eastAsia" w:ascii="方正仿宋_GBK" w:hAnsi="宋体" w:eastAsia="方正仿宋_GBK"/>
          <w:szCs w:val="28"/>
        </w:rPr>
        <w:br w:type="textWrapping"/>
      </w:r>
      <w:r>
        <w:rPr>
          <w:rFonts w:hint="eastAsia" w:ascii="方正仿宋_GBK" w:hAnsi="宋体" w:eastAsia="方正仿宋_GBK"/>
          <w:szCs w:val="28"/>
        </w:rPr>
        <w:t>•技术能力：拥有专业的技术团队，具备处理各类电梯故障的能力，能提供原厂配件或同等质量的替换件。</w:t>
      </w:r>
      <w:r>
        <w:rPr>
          <w:rFonts w:hint="eastAsia" w:ascii="方正仿宋_GBK" w:hAnsi="宋体" w:eastAsia="方正仿宋_GBK"/>
          <w:szCs w:val="28"/>
        </w:rPr>
        <w:br w:type="textWrapping"/>
      </w:r>
      <w:r>
        <w:rPr>
          <w:rFonts w:hint="eastAsia" w:ascii="方正仿宋_GBK" w:hAnsi="宋体" w:eastAsia="方正仿宋_GBK"/>
          <w:szCs w:val="28"/>
        </w:rPr>
        <w:t>•服务质量：具备完善的服务体系，包括服务热线、备件供应、质量监控等，确保服务响应及时、服务质量优良</w:t>
      </w:r>
      <w:r>
        <w:rPr>
          <w:rFonts w:ascii="宋体" w:hAnsi="宋体" w:eastAsia="宋体" w:cs="宋体"/>
          <w:sz w:val="24"/>
          <w:szCs w:val="24"/>
        </w:rPr>
        <w:t>。</w:t>
      </w:r>
      <w:r>
        <w:rPr>
          <w:rFonts w:hint="eastAsia" w:ascii="方正仿宋_GBK" w:hAnsi="宋体" w:eastAsia="方正仿宋_GBK"/>
          <w:szCs w:val="28"/>
        </w:rPr>
        <w:br w:type="textWrapping"/>
      </w:r>
      <w:r>
        <w:rPr>
          <w:rFonts w:hint="eastAsia" w:ascii="方正仿宋_GBK" w:hAnsi="宋体" w:eastAsia="方正仿宋_GBK"/>
          <w:szCs w:val="28"/>
        </w:rPr>
        <w:t>针对上述电梯设备，维保服务应至少包括但不限于以下内容：</w:t>
      </w:r>
      <w:r>
        <w:rPr>
          <w:rFonts w:hint="eastAsia" w:ascii="方正仿宋_GBK" w:hAnsi="宋体" w:eastAsia="方正仿宋_GBK"/>
          <w:szCs w:val="28"/>
        </w:rPr>
        <w:br w:type="textWrapping"/>
      </w:r>
      <w:r>
        <w:rPr>
          <w:rFonts w:hint="eastAsia" w:ascii="方正仿宋_GBK" w:hAnsi="宋体" w:eastAsia="方正仿宋_GBK"/>
          <w:szCs w:val="28"/>
        </w:rPr>
        <w:t>•定期巡检与保养：按照国家及地方相关法规、行业标准以及设备制造商的推荐维护周期，进行定期的预防性检查、清洁、润滑、调整和更换易损件等工作。</w:t>
      </w:r>
      <w:r>
        <w:rPr>
          <w:rFonts w:hint="eastAsia" w:ascii="方正仿宋_GBK" w:hAnsi="宋体" w:eastAsia="方正仿宋_GBK"/>
          <w:szCs w:val="28"/>
        </w:rPr>
        <w:br w:type="textWrapping"/>
      </w:r>
      <w:r>
        <w:rPr>
          <w:rFonts w:hint="eastAsia" w:ascii="方正仿宋_GBK" w:hAnsi="宋体" w:eastAsia="方正仿宋_GBK"/>
          <w:szCs w:val="28"/>
        </w:rPr>
        <w:t>•应急响应与故障排除：提供24小时紧急故障报修服务，承诺在规定时间内到达现场并迅速处理故障，确保电梯尽快恢复正常运行。</w:t>
      </w:r>
      <w:r>
        <w:rPr>
          <w:rFonts w:hint="eastAsia" w:ascii="方正仿宋_GBK" w:hAnsi="宋体" w:eastAsia="方正仿宋_GBK"/>
          <w:szCs w:val="28"/>
        </w:rPr>
        <w:br w:type="textWrapping"/>
      </w:r>
      <w:r>
        <w:rPr>
          <w:rFonts w:hint="eastAsia" w:ascii="方正仿宋_GBK" w:hAnsi="宋体" w:eastAsia="方正仿宋_GBK"/>
          <w:szCs w:val="28"/>
        </w:rPr>
        <w:t>•年检协助：配合完成年度安全检测工作，确保所有电梯设备顺利通过相关部门的年检，并取得合格证书。</w:t>
      </w:r>
      <w:r>
        <w:rPr>
          <w:rFonts w:hint="eastAsia" w:ascii="方正仿宋_GBK" w:hAnsi="宋体" w:eastAsia="方正仿宋_GBK"/>
          <w:szCs w:val="28"/>
        </w:rPr>
        <w:br w:type="textWrapping"/>
      </w:r>
      <w:r>
        <w:rPr>
          <w:rFonts w:hint="eastAsia" w:ascii="方正仿宋_GBK" w:hAnsi="宋体" w:eastAsia="方正仿宋_GBK"/>
          <w:szCs w:val="28"/>
        </w:rPr>
        <w:t>•技术咨询与培训：为</w:t>
      </w:r>
      <w:r>
        <w:rPr>
          <w:rFonts w:hint="eastAsia" w:ascii="方正仿宋_GBK" w:hAnsi="宋体" w:eastAsia="方正仿宋_GBK"/>
          <w:szCs w:val="28"/>
          <w:lang w:eastAsia="zh-CN"/>
        </w:rPr>
        <w:t>院</w:t>
      </w:r>
      <w:r>
        <w:rPr>
          <w:rFonts w:hint="eastAsia" w:ascii="方正仿宋_GBK" w:hAnsi="宋体" w:eastAsia="方正仿宋_GBK"/>
          <w:szCs w:val="28"/>
        </w:rPr>
        <w:t>方提供电梯使用、管理的技术咨询服务，以及必要的操作人员培训，提升电梯使用方的安全意识和操作技能。</w:t>
      </w:r>
      <w:r>
        <w:rPr>
          <w:rFonts w:hint="eastAsia" w:ascii="方正仿宋_GBK" w:hAnsi="宋体" w:eastAsia="方正仿宋_GBK"/>
          <w:szCs w:val="28"/>
        </w:rPr>
        <w:br w:type="textWrapping"/>
      </w:r>
      <w:r>
        <w:rPr>
          <w:rFonts w:hint="eastAsia" w:ascii="方正仿宋_GBK" w:hAnsi="宋体" w:eastAsia="方正仿宋_GBK"/>
          <w:szCs w:val="28"/>
        </w:rPr>
        <w:t>•质量记录与报告：建立完整的维保档案，每次维保后提交详细的维保报告，记录维保过程、发现的问题、处理措施及建议，确保维保工作的可追溯性。</w:t>
      </w:r>
      <w:r>
        <w:rPr>
          <w:rFonts w:hint="eastAsia" w:ascii="方正仿宋_GBK" w:hAnsi="宋体" w:eastAsia="方正仿宋_GBK"/>
          <w:szCs w:val="28"/>
        </w:rPr>
        <w:br w:type="textWrapping"/>
      </w:r>
      <w:r>
        <w:rPr>
          <w:rFonts w:hint="eastAsia" w:ascii="方正仿宋_GBK" w:hAnsi="宋体" w:eastAsia="方正仿宋_GBK"/>
          <w:szCs w:val="28"/>
        </w:rPr>
        <w:br w:type="textWrapping"/>
      </w:r>
      <w:r>
        <w:rPr>
          <w:rFonts w:hint="eastAsia" w:ascii="方正仿宋_GBK" w:hAnsi="宋体" w:eastAsia="方正仿宋_GBK"/>
          <w:szCs w:val="28"/>
        </w:rPr>
        <w:br w:type="textWrapping"/>
      </w:r>
      <w:r>
        <w:rPr>
          <w:rFonts w:hint="eastAsia" w:ascii="方正仿宋_GBK" w:hAnsi="宋体" w:eastAsia="方正仿宋_GBK"/>
          <w:szCs w:val="28"/>
        </w:rPr>
        <w:br w:type="textWrapping"/>
      </w:r>
      <w:r>
        <w:rPr>
          <w:rFonts w:hint="eastAsia" w:ascii="方正仿宋_GBK" w:hAnsi="宋体" w:eastAsia="方正仿宋_GBK"/>
          <w:szCs w:val="28"/>
        </w:rPr>
        <w:br w:type="textWrapping"/>
      </w:r>
      <w:r>
        <w:rPr>
          <w:rFonts w:hint="eastAsia" w:ascii="方正仿宋_GBK" w:hAnsi="宋体" w:eastAsia="方正仿宋_GBK"/>
          <w:szCs w:val="28"/>
          <w:lang w:eastAsia="zh-CN"/>
        </w:rPr>
        <w:t>七</w:t>
      </w:r>
      <w:r>
        <w:rPr>
          <w:rFonts w:hint="eastAsia" w:ascii="方正仿宋_GBK" w:hAnsi="宋体" w:eastAsia="方正仿宋_GBK"/>
          <w:szCs w:val="28"/>
        </w:rPr>
        <w:t>、联系方式</w:t>
      </w:r>
      <w:r>
        <w:rPr>
          <w:rFonts w:hint="eastAsia" w:ascii="方正仿宋_GBK" w:hAnsi="宋体" w:eastAsia="方正仿宋_GBK"/>
          <w:szCs w:val="28"/>
        </w:rPr>
        <w:br w:type="textWrapping"/>
      </w:r>
      <w:r>
        <w:rPr>
          <w:rFonts w:hint="eastAsia" w:ascii="方正仿宋_GBK" w:hAnsi="宋体" w:eastAsia="方正仿宋_GBK"/>
          <w:szCs w:val="28"/>
        </w:rPr>
        <w:t>招标人信息、联系人、联系电话、电子邮箱等具体联系方式将在正式招标文件中提供。</w:t>
      </w:r>
      <w:r>
        <w:rPr>
          <w:rFonts w:hint="eastAsia" w:ascii="方正仿宋_GBK" w:hAnsi="宋体" w:eastAsia="方正仿宋_GBK"/>
          <w:szCs w:val="28"/>
        </w:rPr>
        <w:br w:type="textWrapping"/>
      </w:r>
      <w:r>
        <w:rPr>
          <w:rFonts w:hint="eastAsia" w:ascii="方正仿宋_GBK" w:hAnsi="宋体" w:eastAsia="方正仿宋_GBK"/>
          <w:szCs w:val="28"/>
        </w:rPr>
        <w:t>本项目基本情况介绍旨在为潜在投标人提供初步参考，详细要求以发布的正式招标文件为准。意向投标人应及时关注相关信息发布平台，确保及时获取并响应招标公告，顺利完成投标流程。</w:t>
      </w:r>
      <w:r>
        <w:rPr>
          <w:rFonts w:hint="eastAsia" w:ascii="方正仿宋_GBK" w:hAnsi="宋体" w:eastAsia="方正仿宋_GBK"/>
          <w:szCs w:val="28"/>
        </w:rPr>
        <w:br w:type="textWrapping"/>
      </w:r>
      <w:r>
        <w:rPr>
          <w:rFonts w:hint="eastAsia" w:ascii="方正仿宋_GBK" w:hAnsi="宋体" w:eastAsia="方正仿宋_GBK"/>
          <w:szCs w:val="28"/>
        </w:rPr>
        <w:t>注意：以上内容仅为示例，具体招标细节、资格要求、服务内容、评标标准等应依据实际发布的招标文件编制。如涉及食堂电梯的具体类型、规格、品牌等信息，请根据实际情况补充或修正。</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64238"/>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